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4077334</wp:posOffset>
            </wp:positionH>
            <wp:positionV relativeFrom="paragraph">
              <wp:posOffset>-571499</wp:posOffset>
            </wp:positionV>
            <wp:extent cx="1814830" cy="51752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14830" cy="517525"/>
                    </a:xfrm>
                    <a:prstGeom prst="rect"/>
                    <a:ln/>
                  </pic:spPr>
                </pic:pic>
              </a:graphicData>
            </a:graphic>
          </wp:anchor>
        </w:drawing>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BP-218DA</w:t>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SUBGRAVE AUTAMPLIFICADO 2 X 18” DE ALTA POTENCIA</w:t>
      </w:r>
    </w:p>
    <w:p w:rsidR="00000000" w:rsidDel="00000000" w:rsidP="00000000" w:rsidRDefault="00000000" w:rsidRPr="00000000" w14:paraId="00000004">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CONTROLADO POR DSP. CONEXIÓN ETHERNET</w:t>
      </w:r>
      <w:r w:rsidDel="00000000" w:rsidR="00000000" w:rsidRPr="00000000">
        <w:rPr>
          <w:rtl w:val="0"/>
        </w:rPr>
      </w:r>
    </w:p>
    <w:p w:rsidR="00000000" w:rsidDel="00000000" w:rsidP="00000000" w:rsidRDefault="00000000" w:rsidRPr="00000000" w14:paraId="00000005">
      <w:pPr>
        <w:ind w:left="-540" w:right="-441"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INFORMACION GENERAL</w:t>
      </w:r>
    </w:p>
    <w:p w:rsidR="00000000" w:rsidDel="00000000" w:rsidP="00000000" w:rsidRDefault="00000000" w:rsidRPr="00000000" w14:paraId="00000008">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09">
      <w:pPr>
        <w:ind w:left="-539" w:right="-81"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A">
      <w:pPr>
        <w:ind w:left="-539"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El BP-218DA es un bafle de subgraves de alta potencia con diseño Doble Pasabanda de 6º orden que emplea 2 altavoces de 18” de gran excursión. Incorpora un módulo de entrada DSP con la tecnología más avanzada ( 96KHz de Frecuencia de muestreo y 64 bits de procesamiento de señal ) y alimentado con dos potentes módulos de potencia clase D de 3ª generación de 3000W cada uno, totalmente autoprotegido y fuente de alimentación Universal con un rango de Voltaje de red de 85V hasta 268V, asegurando una entrega de potencia constante en todo el mundo. </w:t>
      </w:r>
      <w:r w:rsidDel="00000000" w:rsidR="00000000" w:rsidRPr="00000000">
        <w:drawing>
          <wp:anchor allowOverlap="1" behindDoc="0" distB="0" distT="0" distL="114300" distR="114300" hidden="0" layoutInCell="1" locked="0" relativeHeight="0" simplePos="0">
            <wp:simplePos x="0" y="0"/>
            <wp:positionH relativeFrom="column">
              <wp:posOffset>3441065</wp:posOffset>
            </wp:positionH>
            <wp:positionV relativeFrom="paragraph">
              <wp:posOffset>-64769</wp:posOffset>
            </wp:positionV>
            <wp:extent cx="2451100" cy="1624965"/>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51100" cy="1624965"/>
                    </a:xfrm>
                    <a:prstGeom prst="rect"/>
                    <a:ln/>
                  </pic:spPr>
                </pic:pic>
              </a:graphicData>
            </a:graphic>
          </wp:anchor>
        </w:drawing>
      </w:r>
    </w:p>
    <w:p w:rsidR="00000000" w:rsidDel="00000000" w:rsidP="00000000" w:rsidRDefault="00000000" w:rsidRPr="00000000" w14:paraId="0000000B">
      <w:pPr>
        <w:ind w:right="-81"/>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C">
      <w:pPr>
        <w:ind w:left="-540"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 ha diseñado como refuerzo para los sistemas Line-array de MUSICSON así como de cualquier sistema todo-rango en los que se requiera una reproducción de anchos de frecuencia comprendida entre 34Hz y 100Hz. Sintonizados a una Frecuencia de Resonancia muy baja, el BP-218DA es capaz de bajar hasta los 33Hz ( funcionando con sus Presets) con un mínimo de desplazamiento de los conjuntos móviles de los transductores de 18” optimizando el funcionamiento del sistema. </w:t>
      </w:r>
    </w:p>
    <w:p w:rsidR="00000000" w:rsidDel="00000000" w:rsidP="00000000" w:rsidRDefault="00000000" w:rsidRPr="00000000" w14:paraId="0000000D">
      <w:pPr>
        <w:ind w:left="-540" w:right="-81"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E">
      <w:pPr>
        <w:ind w:left="-540"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Las turbulencias, ruidos y distorsiones se han reducido al mínimo empleando grandes superficies para los puertos de sintonización del bafle optimizando la Respuesta y SPL en frecuencias muy bajas a la vez que reduciendo la compresión de potencia con niveles muy altos de salida.   </w:t>
      </w:r>
    </w:p>
    <w:p w:rsidR="00000000" w:rsidDel="00000000" w:rsidP="00000000" w:rsidRDefault="00000000" w:rsidRPr="00000000" w14:paraId="0000000F">
      <w:pPr>
        <w:ind w:right="-81"/>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ind w:left="-540"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El DSP del BP-218DA incluye un software de Control, para Windows y MAC que permite al Ingeniero de sonido configurar las unidades en una red ethernet para tener un control total y una monitorización en tiempo real de los niveles de las señales de Entrada y Salida en ambos altavoces de forma individualizada así como el estado de funcionamiento de los limitadores.</w:t>
      </w:r>
    </w:p>
    <w:p w:rsidR="00000000" w:rsidDel="00000000" w:rsidP="00000000" w:rsidRDefault="00000000" w:rsidRPr="00000000" w14:paraId="00000011">
      <w:pPr>
        <w:ind w:left="-540" w:right="-81"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2">
      <w:pPr>
        <w:ind w:left="-540"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Mediante el Software de Control, el técnico FOH puede además elegir entre varios Presets de Fábrica para su uso como Subgrave Omnidireccional así como varias configuraciones distintas para la formación de patrones de cobertura Cardiodes. EL Software de Control permite también modificar Ganancias de Entrada, emplear hasta 10 filtros de Ecualización, modificar el Filtro Pasobajos para adecuarlo a cualquier sistema así como introducir retardos para la formación de distintos patrones de directividad.</w:t>
      </w:r>
    </w:p>
    <w:p w:rsidR="00000000" w:rsidDel="00000000" w:rsidP="00000000" w:rsidRDefault="00000000" w:rsidRPr="00000000" w14:paraId="00000013">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ind w:left="-540" w:right="-8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El BP-218DA utiliza 2 transductores de 18” capaces de admitir altos valores de desplazamiento, ensamblados con un potente conjunto magnético. Estos transductores combinan la tecnología de bobina móvil de Doble Cara en el soporte y el empleo de doble elemento de centrado para optimizar su rigidez mecánica y refrigeración comparado con los transductores convencionales de un solo centrador. De esta forma, se reduce de forma importante la compresión de potencia con altos niveles de salida debido a la temperatura. Para protección del cono del altavoz ante humedad, lluvia, polvo, etc, MUSICON aplica una protección especial bi-componente.</w:t>
      </w:r>
    </w:p>
    <w:p w:rsidR="00000000" w:rsidDel="00000000" w:rsidP="00000000" w:rsidRDefault="00000000" w:rsidRPr="00000000" w14:paraId="00000015">
      <w:pPr>
        <w:ind w:left="-540" w:right="-81"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6">
      <w:pPr>
        <w:ind w:right="-81"/>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ind w:left="-540" w:right="-81" w:firstLine="0"/>
        <w:rPr>
          <w:b w:val="0"/>
          <w:sz w:val="22"/>
          <w:szCs w:val="22"/>
          <w:vertAlign w:val="baseline"/>
        </w:rPr>
      </w:pPr>
      <w:r w:rsidDel="00000000" w:rsidR="00000000" w:rsidRPr="00000000">
        <w:rPr>
          <w:b w:val="1"/>
          <w:sz w:val="22"/>
          <w:szCs w:val="22"/>
          <w:vertAlign w:val="baseline"/>
          <w:rtl w:val="0"/>
        </w:rPr>
        <w:t xml:space="preserve">ESPECIFICACIONES</w:t>
      </w:r>
      <w:r w:rsidDel="00000000" w:rsidR="00000000" w:rsidRPr="00000000">
        <w:rPr>
          <w:rtl w:val="0"/>
        </w:rPr>
      </w:r>
    </w:p>
    <w:tbl>
      <w:tblPr>
        <w:tblStyle w:val="Table1"/>
        <w:tblpPr w:leftFromText="141" w:rightFromText="141" w:topFromText="0" w:bottomFromText="0" w:vertAnchor="text" w:horzAnchor="text" w:tblpX="0" w:tblpY="523"/>
        <w:tblW w:w="7906.0" w:type="dxa"/>
        <w:jc w:val="left"/>
        <w:tblInd w:w="-108.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2211"/>
        <w:gridCol w:w="5695"/>
        <w:tblGridChange w:id="0">
          <w:tblGrid>
            <w:gridCol w:w="2211"/>
            <w:gridCol w:w="5695"/>
          </w:tblGrid>
        </w:tblGridChange>
      </w:tblGrid>
      <w:tr>
        <w:trPr>
          <w:cantSplit w:val="0"/>
          <w:trHeight w:val="174" w:hRule="atLeast"/>
          <w:tblHeader w:val="0"/>
        </w:trPr>
        <w:tc>
          <w:tcPr>
            <w:tcBorders>
              <w:top w:color="000000" w:space="0" w:sz="6" w:val="single"/>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18">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Respuesta en Frecuencia</w:t>
            </w:r>
            <w:r w:rsidDel="00000000" w:rsidR="00000000" w:rsidRPr="00000000">
              <w:rPr>
                <w:rtl w:val="0"/>
              </w:rPr>
            </w:r>
          </w:p>
          <w:p w:rsidR="00000000" w:rsidDel="00000000" w:rsidP="00000000" w:rsidRDefault="00000000" w:rsidRPr="00000000" w14:paraId="00000019">
            <w:pPr>
              <w:ind w:left="180" w:right="-81" w:firstLine="0"/>
              <w:rPr>
                <w:rFonts w:ascii="Arial" w:cs="Arial" w:eastAsia="Arial" w:hAnsi="Arial"/>
                <w:b w:val="0"/>
                <w:sz w:val="14"/>
                <w:szCs w:val="14"/>
                <w:vertAlign w:val="baseline"/>
              </w:rPr>
            </w:pPr>
            <w:r w:rsidDel="00000000" w:rsidR="00000000" w:rsidRPr="00000000">
              <w:rPr>
                <w:rtl w:val="0"/>
              </w:rPr>
            </w:r>
          </w:p>
        </w:tc>
        <w:tc>
          <w:tcPr>
            <w:tcBorders>
              <w:top w:color="000000" w:space="0" w:sz="6" w:val="single"/>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1A">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33Hz – 80Hz ( ± 3 dB )</w:t>
            </w:r>
          </w:p>
          <w:p w:rsidR="00000000" w:rsidDel="00000000" w:rsidP="00000000" w:rsidRDefault="00000000" w:rsidRPr="00000000" w14:paraId="0000001B">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Filtro pasobajos variable en función del Preset del DSP</w:t>
            </w:r>
          </w:p>
        </w:tc>
      </w:tr>
      <w:tr>
        <w:trPr>
          <w:cantSplit w:val="0"/>
          <w:trHeight w:val="355"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1C">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Componentes</w:t>
            </w:r>
            <w:r w:rsidDel="00000000" w:rsidR="00000000" w:rsidRPr="00000000">
              <w:rPr>
                <w:rtl w:val="0"/>
              </w:rPr>
            </w:r>
          </w:p>
          <w:p w:rsidR="00000000" w:rsidDel="00000000" w:rsidP="00000000" w:rsidRDefault="00000000" w:rsidRPr="00000000" w14:paraId="0000001D">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1E">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2 x 18” Tratamiento antihumedad, 4” (100mm) bobina móvil doble cara </w:t>
            </w:r>
          </w:p>
          <w:p w:rsidR="00000000" w:rsidDel="00000000" w:rsidP="00000000" w:rsidRDefault="00000000" w:rsidRPr="00000000" w14:paraId="0000001F">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Doble sistema de guiado de bobina móvil</w:t>
            </w:r>
          </w:p>
        </w:tc>
      </w:tr>
      <w:tr>
        <w:trPr>
          <w:cantSplit w:val="0"/>
          <w:trHeight w:val="137"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20">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Potencia</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21">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2 x 1000Wrms / 2 x 4000W Peak</w:t>
            </w:r>
          </w:p>
        </w:tc>
      </w:tr>
      <w:tr>
        <w:trPr>
          <w:cantSplit w:val="0"/>
          <w:trHeight w:val="214"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22">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Sensibilidad</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23">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105dB ( 2.83V@1m ) / 145dB ( Peak )</w:t>
            </w:r>
          </w:p>
        </w:tc>
      </w:tr>
      <w:tr>
        <w:trPr>
          <w:cantSplit w:val="0"/>
          <w:trHeight w:val="84"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24">
            <w:pPr>
              <w:ind w:right="-81"/>
              <w:rPr>
                <w:rFonts w:ascii="Arial" w:cs="Arial" w:eastAsia="Arial" w:hAnsi="Arial"/>
                <w:sz w:val="14"/>
                <w:szCs w:val="14"/>
                <w:vertAlign w:val="baseline"/>
              </w:rPr>
            </w:pPr>
            <w:r w:rsidDel="00000000" w:rsidR="00000000" w:rsidRPr="00000000">
              <w:rPr>
                <w:rFonts w:ascii="Arial" w:cs="Arial" w:eastAsia="Arial" w:hAnsi="Arial"/>
                <w:b w:val="1"/>
                <w:sz w:val="14"/>
                <w:szCs w:val="14"/>
                <w:vertAlign w:val="baseline"/>
                <w:rtl w:val="0"/>
              </w:rPr>
              <w:t xml:space="preserve">Dimensiones</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25">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Alto x Ancho x Profundo ) : 586x1380x860 mm</w:t>
            </w:r>
          </w:p>
        </w:tc>
      </w:tr>
      <w:tr>
        <w:trPr>
          <w:cantSplit w:val="0"/>
          <w:trHeight w:val="168"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26">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Peso</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27">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99.5 Kg </w:t>
            </w:r>
          </w:p>
        </w:tc>
      </w:tr>
      <w:tr>
        <w:trPr>
          <w:cantSplit w:val="0"/>
          <w:trHeight w:val="124"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28">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Construcción</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29">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18mm Contrachapado Marino</w:t>
            </w:r>
          </w:p>
        </w:tc>
      </w:tr>
      <w:tr>
        <w:trPr>
          <w:cantSplit w:val="0"/>
          <w:trHeight w:val="150"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2A">
            <w:pPr>
              <w:ind w:right="-81"/>
              <w:rPr>
                <w:rFonts w:ascii="Arial" w:cs="Arial" w:eastAsia="Arial" w:hAnsi="Arial"/>
                <w:sz w:val="14"/>
                <w:szCs w:val="14"/>
                <w:vertAlign w:val="baseline"/>
              </w:rPr>
            </w:pPr>
            <w:r w:rsidDel="00000000" w:rsidR="00000000" w:rsidRPr="00000000">
              <w:rPr>
                <w:rFonts w:ascii="Arial" w:cs="Arial" w:eastAsia="Arial" w:hAnsi="Arial"/>
                <w:b w:val="1"/>
                <w:sz w:val="14"/>
                <w:szCs w:val="14"/>
                <w:vertAlign w:val="baseline"/>
                <w:rtl w:val="0"/>
              </w:rPr>
              <w:t xml:space="preserve">Acabado</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2B">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Bi-Componente Negro con base Poliurea</w:t>
            </w:r>
          </w:p>
        </w:tc>
      </w:tr>
      <w:tr>
        <w:trPr>
          <w:cantSplit w:val="0"/>
          <w:trHeight w:val="99"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2C">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Rejilla</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2D">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Rejilla de Acero de 2mm pintada con Epoxy negro</w:t>
            </w:r>
          </w:p>
        </w:tc>
      </w:tr>
      <w:tr>
        <w:trPr>
          <w:cantSplit w:val="0"/>
          <w:trHeight w:val="214"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2E">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Hardware transporte</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2F">
            <w:pPr>
              <w:ind w:right="-113"/>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8 asas de hierro encastradas de 220mm</w:t>
            </w:r>
          </w:p>
        </w:tc>
      </w:tr>
    </w:tbl>
    <w:p w:rsidR="00000000" w:rsidDel="00000000" w:rsidP="00000000" w:rsidRDefault="00000000" w:rsidRPr="00000000" w14:paraId="00000030">
      <w:pPr>
        <w:ind w:right="-81"/>
        <w:rPr>
          <w:b w:val="0"/>
          <w:vertAlign w:val="baseline"/>
        </w:rPr>
      </w:pPr>
      <w:r w:rsidDel="00000000" w:rsidR="00000000" w:rsidRPr="00000000">
        <w:rPr>
          <w:b w:val="1"/>
          <w:vertAlign w:val="baseline"/>
          <w:rtl w:val="0"/>
        </w:rPr>
        <w:t xml:space="preserve">1.- BAFLE</w:t>
      </w:r>
      <w:r w:rsidDel="00000000" w:rsidR="00000000" w:rsidRPr="00000000">
        <w:rPr>
          <w:rtl w:val="0"/>
        </w:rPr>
      </w:r>
    </w:p>
    <w:p w:rsidR="00000000" w:rsidDel="00000000" w:rsidP="00000000" w:rsidRDefault="00000000" w:rsidRPr="00000000" w14:paraId="00000031">
      <w:pPr>
        <w:ind w:right="-81"/>
        <w:rPr>
          <w:b w:val="0"/>
          <w:vertAlign w:val="baseline"/>
        </w:rPr>
      </w:pPr>
      <w:r w:rsidDel="00000000" w:rsidR="00000000" w:rsidRPr="00000000">
        <w:rPr>
          <w:rtl w:val="0"/>
        </w:rPr>
      </w:r>
    </w:p>
    <w:p w:rsidR="00000000" w:rsidDel="00000000" w:rsidP="00000000" w:rsidRDefault="00000000" w:rsidRPr="00000000" w14:paraId="00000032">
      <w:pPr>
        <w:ind w:right="-81"/>
        <w:rPr>
          <w:vertAlign w:val="baseline"/>
        </w:rPr>
      </w:pPr>
      <w:r w:rsidDel="00000000" w:rsidR="00000000" w:rsidRPr="00000000">
        <w:rPr>
          <w:rtl w:val="0"/>
        </w:rPr>
      </w:r>
    </w:p>
    <w:p w:rsidR="00000000" w:rsidDel="00000000" w:rsidP="00000000" w:rsidRDefault="00000000" w:rsidRPr="00000000" w14:paraId="00000033">
      <w:pPr>
        <w:ind w:right="-81"/>
        <w:rPr>
          <w:vertAlign w:val="baseline"/>
        </w:rPr>
      </w:pPr>
      <w:r w:rsidDel="00000000" w:rsidR="00000000" w:rsidRPr="00000000">
        <w:rPr>
          <w:rtl w:val="0"/>
        </w:rPr>
      </w:r>
    </w:p>
    <w:p w:rsidR="00000000" w:rsidDel="00000000" w:rsidP="00000000" w:rsidRDefault="00000000" w:rsidRPr="00000000" w14:paraId="00000034">
      <w:pPr>
        <w:ind w:right="-81"/>
        <w:rPr>
          <w:vertAlign w:val="baseline"/>
        </w:rPr>
      </w:pPr>
      <w:r w:rsidDel="00000000" w:rsidR="00000000" w:rsidRPr="00000000">
        <w:rPr>
          <w:rtl w:val="0"/>
        </w:rPr>
      </w:r>
    </w:p>
    <w:p w:rsidR="00000000" w:rsidDel="00000000" w:rsidP="00000000" w:rsidRDefault="00000000" w:rsidRPr="00000000" w14:paraId="00000035">
      <w:pPr>
        <w:ind w:right="-81"/>
        <w:rPr>
          <w:vertAlign w:val="baseline"/>
        </w:rPr>
      </w:pPr>
      <w:r w:rsidDel="00000000" w:rsidR="00000000" w:rsidRPr="00000000">
        <w:rPr>
          <w:rtl w:val="0"/>
        </w:rPr>
      </w:r>
    </w:p>
    <w:p w:rsidR="00000000" w:rsidDel="00000000" w:rsidP="00000000" w:rsidRDefault="00000000" w:rsidRPr="00000000" w14:paraId="00000036">
      <w:pPr>
        <w:ind w:right="-81"/>
        <w:rPr>
          <w:vertAlign w:val="baseline"/>
        </w:rPr>
      </w:pPr>
      <w:r w:rsidDel="00000000" w:rsidR="00000000" w:rsidRPr="00000000">
        <w:rPr>
          <w:rtl w:val="0"/>
        </w:rPr>
      </w:r>
    </w:p>
    <w:p w:rsidR="00000000" w:rsidDel="00000000" w:rsidP="00000000" w:rsidRDefault="00000000" w:rsidRPr="00000000" w14:paraId="00000037">
      <w:pPr>
        <w:ind w:right="-81"/>
        <w:rPr>
          <w:vertAlign w:val="baseline"/>
        </w:rPr>
      </w:pPr>
      <w:r w:rsidDel="00000000" w:rsidR="00000000" w:rsidRPr="00000000">
        <w:rPr>
          <w:rtl w:val="0"/>
        </w:rPr>
      </w:r>
    </w:p>
    <w:p w:rsidR="00000000" w:rsidDel="00000000" w:rsidP="00000000" w:rsidRDefault="00000000" w:rsidRPr="00000000" w14:paraId="00000038">
      <w:pPr>
        <w:ind w:right="-81"/>
        <w:rPr>
          <w:vertAlign w:val="baseline"/>
        </w:rPr>
      </w:pPr>
      <w:r w:rsidDel="00000000" w:rsidR="00000000" w:rsidRPr="00000000">
        <w:rPr>
          <w:rtl w:val="0"/>
        </w:rPr>
      </w:r>
    </w:p>
    <w:p w:rsidR="00000000" w:rsidDel="00000000" w:rsidP="00000000" w:rsidRDefault="00000000" w:rsidRPr="00000000" w14:paraId="00000039">
      <w:pPr>
        <w:ind w:right="-81"/>
        <w:rPr>
          <w:b w:val="0"/>
          <w:vertAlign w:val="baseline"/>
        </w:rPr>
      </w:pPr>
      <w:r w:rsidDel="00000000" w:rsidR="00000000" w:rsidRPr="00000000">
        <w:rPr>
          <w:b w:val="1"/>
          <w:vertAlign w:val="baseline"/>
          <w:rtl w:val="0"/>
        </w:rPr>
        <w:t xml:space="preserve">2.- MODULO DE POTENCIA</w:t>
      </w:r>
      <w:r w:rsidDel="00000000" w:rsidR="00000000" w:rsidRPr="00000000">
        <w:rPr>
          <w:rtl w:val="0"/>
        </w:rPr>
      </w:r>
    </w:p>
    <w:tbl>
      <w:tblPr>
        <w:tblStyle w:val="Table2"/>
        <w:tblpPr w:leftFromText="141" w:rightFromText="141" w:topFromText="0" w:bottomFromText="0" w:vertAnchor="text" w:horzAnchor="text" w:tblpX="0" w:tblpY="331"/>
        <w:tblW w:w="7905.0" w:type="dxa"/>
        <w:jc w:val="left"/>
        <w:tblInd w:w="-108.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951"/>
        <w:gridCol w:w="5954"/>
        <w:tblGridChange w:id="0">
          <w:tblGrid>
            <w:gridCol w:w="1951"/>
            <w:gridCol w:w="5954"/>
          </w:tblGrid>
        </w:tblGridChange>
      </w:tblGrid>
      <w:tr>
        <w:trPr>
          <w:cantSplit w:val="0"/>
          <w:trHeight w:val="121" w:hRule="atLeast"/>
          <w:tblHeader w:val="0"/>
        </w:trPr>
        <w:tc>
          <w:tcPr>
            <w:tcBorders>
              <w:top w:color="000000" w:space="0" w:sz="6" w:val="single"/>
              <w:left w:color="000000" w:space="0" w:sz="6" w:val="single"/>
              <w:bottom w:color="000000" w:space="0" w:sz="0" w:val="nil"/>
              <w:right w:color="000000" w:space="0" w:sz="4" w:val="single"/>
            </w:tcBorders>
            <w:shd w:fill="bfbfbf" w:val="clear"/>
            <w:vAlign w:val="top"/>
          </w:tcPr>
          <w:p w:rsidR="00000000" w:rsidDel="00000000" w:rsidP="00000000" w:rsidRDefault="00000000" w:rsidRPr="00000000" w14:paraId="0000003A">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Amplificación</w:t>
            </w:r>
            <w:r w:rsidDel="00000000" w:rsidR="00000000" w:rsidRPr="00000000">
              <w:rPr>
                <w:rtl w:val="0"/>
              </w:rPr>
            </w:r>
          </w:p>
        </w:tc>
        <w:tc>
          <w:tcPr>
            <w:tcBorders>
              <w:top w:color="000000" w:space="0" w:sz="6" w:val="single"/>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3B">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2 x 3000W Continuos / 2 x 12000W Peak Clase D 3</w:t>
            </w:r>
            <w:r w:rsidDel="00000000" w:rsidR="00000000" w:rsidRPr="00000000">
              <w:rPr>
                <w:rFonts w:ascii="Arial" w:cs="Arial" w:eastAsia="Arial" w:hAnsi="Arial"/>
                <w:sz w:val="14"/>
                <w:szCs w:val="14"/>
                <w:vertAlign w:val="superscript"/>
                <w:rtl w:val="0"/>
              </w:rPr>
              <w:t xml:space="preserve">a </w:t>
            </w:r>
            <w:r w:rsidDel="00000000" w:rsidR="00000000" w:rsidRPr="00000000">
              <w:rPr>
                <w:rFonts w:ascii="Arial" w:cs="Arial" w:eastAsia="Arial" w:hAnsi="Arial"/>
                <w:sz w:val="14"/>
                <w:szCs w:val="14"/>
                <w:vertAlign w:val="baseline"/>
                <w:rtl w:val="0"/>
              </w:rPr>
              <w:t xml:space="preserve">Generación</w:t>
            </w:r>
            <w:r w:rsidDel="00000000" w:rsidR="00000000" w:rsidRPr="00000000">
              <w:rPr>
                <w:rFonts w:ascii="Arial" w:cs="Arial" w:eastAsia="Arial" w:hAnsi="Arial"/>
                <w:sz w:val="14"/>
                <w:szCs w:val="14"/>
                <w:vertAlign w:val="superscript"/>
                <w:rtl w:val="0"/>
              </w:rPr>
              <w:t xml:space="preserve"> </w:t>
            </w:r>
            <w:r w:rsidDel="00000000" w:rsidR="00000000" w:rsidRPr="00000000">
              <w:rPr>
                <w:rtl w:val="0"/>
              </w:rPr>
            </w:r>
          </w:p>
        </w:tc>
      </w:tr>
      <w:tr>
        <w:trPr>
          <w:cantSplit w:val="0"/>
          <w:trHeight w:val="111" w:hRule="atLeast"/>
          <w:tblHeader w:val="0"/>
        </w:trPr>
        <w:tc>
          <w:tcPr>
            <w:tcBorders>
              <w:top w:color="000000" w:space="0" w:sz="0" w:val="nil"/>
              <w:left w:color="000000" w:space="0" w:sz="6" w:val="single"/>
              <w:bottom w:color="000000" w:space="0" w:sz="0" w:val="nil"/>
              <w:right w:color="000000" w:space="0" w:sz="4" w:val="single"/>
            </w:tcBorders>
            <w:shd w:fill="808080" w:val="clear"/>
            <w:vAlign w:val="top"/>
          </w:tcPr>
          <w:p w:rsidR="00000000" w:rsidDel="00000000" w:rsidP="00000000" w:rsidRDefault="00000000" w:rsidRPr="00000000" w14:paraId="0000003C">
            <w:pPr>
              <w:ind w:right="-81"/>
              <w:rPr>
                <w:rFonts w:ascii="Arial" w:cs="Arial" w:eastAsia="Arial" w:hAnsi="Arial"/>
                <w:b w:val="0"/>
                <w:sz w:val="14"/>
                <w:szCs w:val="14"/>
                <w:u w:val="single"/>
                <w:vertAlign w:val="baseline"/>
              </w:rPr>
            </w:pPr>
            <w:r w:rsidDel="00000000" w:rsidR="00000000" w:rsidRPr="00000000">
              <w:rPr>
                <w:rFonts w:ascii="Arial" w:cs="Arial" w:eastAsia="Arial" w:hAnsi="Arial"/>
                <w:b w:val="1"/>
                <w:sz w:val="14"/>
                <w:szCs w:val="14"/>
                <w:vertAlign w:val="baseline"/>
                <w:rtl w:val="0"/>
              </w:rPr>
              <w:t xml:space="preserve">Eficiencia</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3D">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&gt; 90%</w:t>
            </w:r>
          </w:p>
        </w:tc>
      </w:tr>
      <w:tr>
        <w:trPr>
          <w:cantSplit w:val="0"/>
          <w:trHeight w:val="85" w:hRule="atLeast"/>
          <w:tblHeader w:val="0"/>
        </w:trPr>
        <w:tc>
          <w:tcPr>
            <w:tcBorders>
              <w:top w:color="000000" w:space="0" w:sz="0" w:val="nil"/>
              <w:left w:color="000000" w:space="0" w:sz="6" w:val="single"/>
              <w:bottom w:color="000000" w:space="0" w:sz="0" w:val="nil"/>
              <w:right w:color="000000" w:space="0" w:sz="4" w:val="single"/>
            </w:tcBorders>
            <w:shd w:fill="bfbfbf" w:val="clear"/>
            <w:vAlign w:val="top"/>
          </w:tcPr>
          <w:p w:rsidR="00000000" w:rsidDel="00000000" w:rsidP="00000000" w:rsidRDefault="00000000" w:rsidRPr="00000000" w14:paraId="0000003E">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Ganancia de Tensión</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3F">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26dB-38dB</w:t>
            </w:r>
          </w:p>
        </w:tc>
      </w:tr>
      <w:tr>
        <w:trPr>
          <w:cantSplit w:val="0"/>
          <w:trHeight w:val="214" w:hRule="atLeast"/>
          <w:tblHeader w:val="0"/>
        </w:trPr>
        <w:tc>
          <w:tcPr>
            <w:tcBorders>
              <w:top w:color="000000" w:space="0" w:sz="0" w:val="nil"/>
              <w:left w:color="000000" w:space="0" w:sz="6" w:val="single"/>
              <w:bottom w:color="000000" w:space="0" w:sz="0" w:val="nil"/>
              <w:right w:color="000000" w:space="0" w:sz="4" w:val="single"/>
            </w:tcBorders>
            <w:shd w:fill="808080" w:val="clear"/>
            <w:vAlign w:val="top"/>
          </w:tcPr>
          <w:p w:rsidR="00000000" w:rsidDel="00000000" w:rsidP="00000000" w:rsidRDefault="00000000" w:rsidRPr="00000000" w14:paraId="00000040">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Protecciones</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41">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Limitador de Entrada, Cortocircuitos, DC a la salida, under&amp;over voltage, Temperatura</w:t>
            </w: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r>
      <w:tr>
        <w:trPr>
          <w:cantSplit w:val="0"/>
          <w:trHeight w:val="147" w:hRule="atLeast"/>
          <w:tblHeader w:val="0"/>
        </w:trPr>
        <w:tc>
          <w:tcPr>
            <w:tcBorders>
              <w:top w:color="000000" w:space="0" w:sz="0" w:val="nil"/>
              <w:left w:color="000000" w:space="0" w:sz="6" w:val="single"/>
              <w:bottom w:color="000000" w:space="0" w:sz="6" w:val="single"/>
              <w:right w:color="000000" w:space="0" w:sz="4" w:val="single"/>
            </w:tcBorders>
            <w:shd w:fill="bfbfbf" w:val="clear"/>
            <w:vAlign w:val="top"/>
          </w:tcPr>
          <w:p w:rsidR="00000000" w:rsidDel="00000000" w:rsidP="00000000" w:rsidRDefault="00000000" w:rsidRPr="00000000" w14:paraId="00000042">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Tensión de Alimentación</w:t>
            </w:r>
            <w:r w:rsidDel="00000000" w:rsidR="00000000" w:rsidRPr="00000000">
              <w:rPr>
                <w:rtl w:val="0"/>
              </w:rPr>
            </w:r>
          </w:p>
        </w:tc>
        <w:tc>
          <w:tcPr>
            <w:tcBorders>
              <w:top w:color="000000" w:space="0" w:sz="0" w:val="nil"/>
              <w:left w:color="000000" w:space="0" w:sz="4" w:val="single"/>
              <w:bottom w:color="000000" w:space="0" w:sz="6" w:val="single"/>
              <w:right w:color="000000" w:space="0" w:sz="6" w:val="single"/>
            </w:tcBorders>
            <w:shd w:fill="bfbfbf" w:val="clear"/>
            <w:vAlign w:val="top"/>
          </w:tcPr>
          <w:p w:rsidR="00000000" w:rsidDel="00000000" w:rsidP="00000000" w:rsidRDefault="00000000" w:rsidRPr="00000000" w14:paraId="00000043">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Alimentación Universal,  Selección Automática entre 85 – 268VAC 50/60Hz </w:t>
            </w:r>
          </w:p>
        </w:tc>
      </w:tr>
    </w:tbl>
    <w:p w:rsidR="00000000" w:rsidDel="00000000" w:rsidP="00000000" w:rsidRDefault="00000000" w:rsidRPr="00000000" w14:paraId="00000044">
      <w:pPr>
        <w:ind w:right="-81"/>
        <w:rPr>
          <w:b w:val="0"/>
          <w:vertAlign w:val="baseline"/>
        </w:rPr>
      </w:pPr>
      <w:r w:rsidDel="00000000" w:rsidR="00000000" w:rsidRPr="00000000">
        <w:rPr>
          <w:rtl w:val="0"/>
        </w:rPr>
      </w:r>
    </w:p>
    <w:p w:rsidR="00000000" w:rsidDel="00000000" w:rsidP="00000000" w:rsidRDefault="00000000" w:rsidRPr="00000000" w14:paraId="00000045">
      <w:pPr>
        <w:ind w:right="-81"/>
        <w:rPr>
          <w:b w:val="0"/>
          <w:vertAlign w:val="baseline"/>
        </w:rPr>
      </w:pPr>
      <w:r w:rsidDel="00000000" w:rsidR="00000000" w:rsidRPr="00000000">
        <w:rPr>
          <w:rtl w:val="0"/>
        </w:rPr>
      </w:r>
    </w:p>
    <w:p w:rsidR="00000000" w:rsidDel="00000000" w:rsidP="00000000" w:rsidRDefault="00000000" w:rsidRPr="00000000" w14:paraId="00000046">
      <w:pPr>
        <w:ind w:right="-81"/>
        <w:rPr>
          <w:b w:val="0"/>
          <w:vertAlign w:val="baseline"/>
        </w:rPr>
      </w:pPr>
      <w:r w:rsidDel="00000000" w:rsidR="00000000" w:rsidRPr="00000000">
        <w:rPr>
          <w:rtl w:val="0"/>
        </w:rPr>
      </w:r>
    </w:p>
    <w:p w:rsidR="00000000" w:rsidDel="00000000" w:rsidP="00000000" w:rsidRDefault="00000000" w:rsidRPr="00000000" w14:paraId="00000047">
      <w:pPr>
        <w:ind w:right="-81"/>
        <w:rPr>
          <w:b w:val="0"/>
          <w:vertAlign w:val="baseline"/>
        </w:rPr>
      </w:pPr>
      <w:r w:rsidDel="00000000" w:rsidR="00000000" w:rsidRPr="00000000">
        <w:rPr>
          <w:rtl w:val="0"/>
        </w:rPr>
      </w:r>
    </w:p>
    <w:p w:rsidR="00000000" w:rsidDel="00000000" w:rsidP="00000000" w:rsidRDefault="00000000" w:rsidRPr="00000000" w14:paraId="00000048">
      <w:pPr>
        <w:ind w:right="-81"/>
        <w:rPr>
          <w:b w:val="0"/>
          <w:vertAlign w:val="baseline"/>
        </w:rPr>
      </w:pPr>
      <w:r w:rsidDel="00000000" w:rsidR="00000000" w:rsidRPr="00000000">
        <w:rPr>
          <w:rtl w:val="0"/>
        </w:rPr>
      </w:r>
    </w:p>
    <w:p w:rsidR="00000000" w:rsidDel="00000000" w:rsidP="00000000" w:rsidRDefault="00000000" w:rsidRPr="00000000" w14:paraId="00000049">
      <w:pPr>
        <w:ind w:right="-81"/>
        <w:rPr>
          <w:b w:val="0"/>
          <w:vertAlign w:val="baseline"/>
        </w:rPr>
      </w:pPr>
      <w:r w:rsidDel="00000000" w:rsidR="00000000" w:rsidRPr="00000000">
        <w:rPr>
          <w:b w:val="1"/>
          <w:vertAlign w:val="baseline"/>
          <w:rtl w:val="0"/>
        </w:rPr>
        <w:t xml:space="preserve">3.- DSP</w:t>
      </w:r>
      <w:r w:rsidDel="00000000" w:rsidR="00000000" w:rsidRPr="00000000">
        <w:rPr>
          <w:rtl w:val="0"/>
        </w:rPr>
      </w:r>
    </w:p>
    <w:tbl>
      <w:tblPr>
        <w:tblStyle w:val="Table3"/>
        <w:tblpPr w:leftFromText="141" w:rightFromText="141" w:topFromText="0" w:bottomFromText="0" w:vertAnchor="page" w:horzAnchor="margin" w:tblpX="0" w:tblpY="1880"/>
        <w:tblW w:w="7905.0" w:type="dxa"/>
        <w:jc w:val="left"/>
        <w:tblInd w:w="-108.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951"/>
        <w:gridCol w:w="5954"/>
        <w:tblGridChange w:id="0">
          <w:tblGrid>
            <w:gridCol w:w="1951"/>
            <w:gridCol w:w="5954"/>
          </w:tblGrid>
        </w:tblGridChange>
      </w:tblGrid>
      <w:tr>
        <w:trPr>
          <w:cantSplit w:val="0"/>
          <w:trHeight w:val="127" w:hRule="atLeast"/>
          <w:tblHeader w:val="0"/>
        </w:trPr>
        <w:tc>
          <w:tcPr>
            <w:tcBorders>
              <w:top w:color="000000" w:space="0" w:sz="6" w:val="single"/>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4A">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DSP</w:t>
            </w:r>
            <w:r w:rsidDel="00000000" w:rsidR="00000000" w:rsidRPr="00000000">
              <w:rPr>
                <w:rtl w:val="0"/>
              </w:rPr>
            </w:r>
          </w:p>
        </w:tc>
        <w:tc>
          <w:tcPr>
            <w:tcBorders>
              <w:top w:color="000000" w:space="0" w:sz="6" w:val="single"/>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4B">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Frecuencia de Muestreo de 96KHz, 64 bit para cálculos más precisos.</w:t>
            </w:r>
          </w:p>
        </w:tc>
      </w:tr>
      <w:tr>
        <w:trPr>
          <w:cantSplit w:val="0"/>
          <w:trHeight w:val="102"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4C">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Latencia</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4D">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350 µs</w:t>
            </w:r>
          </w:p>
        </w:tc>
      </w:tr>
      <w:tr>
        <w:trPr>
          <w:cantSplit w:val="0"/>
          <w:trHeight w:val="90"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4E">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Conectores de señal</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4F">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XLR Hembra / XLR Macho (Link)</w:t>
            </w:r>
          </w:p>
        </w:tc>
      </w:tr>
      <w:tr>
        <w:trPr>
          <w:cantSplit w:val="0"/>
          <w:trHeight w:val="78"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50">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Nivel de Entrada Nom.</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51">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+6dBu</w:t>
            </w:r>
          </w:p>
        </w:tc>
      </w:tr>
      <w:tr>
        <w:trPr>
          <w:cantSplit w:val="0"/>
          <w:trHeight w:val="57"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52">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Max. Nivel de Entrada</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53">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+24dBu</w:t>
            </w:r>
          </w:p>
        </w:tc>
      </w:tr>
      <w:tr>
        <w:trPr>
          <w:cantSplit w:val="0"/>
          <w:trHeight w:val="168"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54">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Conector Network</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55">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Ethercon RJ/45 In/Link, Cat-5 </w:t>
            </w:r>
          </w:p>
        </w:tc>
      </w:tr>
      <w:tr>
        <w:trPr>
          <w:cantSplit w:val="0"/>
          <w:trHeight w:val="142"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56">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Network</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57">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10/100Mb Ethernet Configuración en Daidy-chain</w:t>
            </w:r>
          </w:p>
        </w:tc>
      </w:tr>
      <w:tr>
        <w:trPr>
          <w:cantSplit w:val="0"/>
          <w:trHeight w:val="130" w:hRule="atLeast"/>
          <w:tblHeader w:val="0"/>
        </w:trPr>
        <w:tc>
          <w:tcPr>
            <w:tcBorders>
              <w:top w:color="000000" w:space="0" w:sz="0" w:val="nil"/>
              <w:left w:color="000000" w:space="0" w:sz="6" w:val="single"/>
              <w:bottom w:color="000000" w:space="0" w:sz="0" w:val="nil"/>
              <w:right w:color="000000" w:space="0" w:sz="0" w:val="nil"/>
            </w:tcBorders>
            <w:shd w:fill="808080" w:val="clear"/>
            <w:vAlign w:val="top"/>
          </w:tcPr>
          <w:p w:rsidR="00000000" w:rsidDel="00000000" w:rsidP="00000000" w:rsidRDefault="00000000" w:rsidRPr="00000000" w14:paraId="00000058">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Control Remoto</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808080" w:val="clear"/>
            <w:vAlign w:val="top"/>
          </w:tcPr>
          <w:p w:rsidR="00000000" w:rsidDel="00000000" w:rsidP="00000000" w:rsidRDefault="00000000" w:rsidRPr="00000000" w14:paraId="00000059">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Mediante PC (Software de Usuario incluido)</w:t>
            </w:r>
          </w:p>
        </w:tc>
      </w:tr>
      <w:tr>
        <w:trPr>
          <w:cantSplit w:val="0"/>
          <w:trHeight w:val="230" w:hRule="atLeast"/>
          <w:tblHeader w:val="0"/>
        </w:trPr>
        <w:tc>
          <w:tcPr>
            <w:tcBorders>
              <w:top w:color="000000" w:space="0" w:sz="0" w:val="nil"/>
              <w:left w:color="000000" w:space="0" w:sz="6" w:val="single"/>
              <w:bottom w:color="000000" w:space="0" w:sz="0" w:val="nil"/>
              <w:right w:color="000000" w:space="0" w:sz="0" w:val="nil"/>
            </w:tcBorders>
            <w:shd w:fill="bfbfbf" w:val="clear"/>
            <w:vAlign w:val="top"/>
          </w:tcPr>
          <w:p w:rsidR="00000000" w:rsidDel="00000000" w:rsidP="00000000" w:rsidRDefault="00000000" w:rsidRPr="00000000" w14:paraId="0000005A">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Control conexion en red</w:t>
            </w:r>
            <w:r w:rsidDel="00000000" w:rsidR="00000000" w:rsidRPr="00000000">
              <w:rPr>
                <w:rtl w:val="0"/>
              </w:rPr>
            </w:r>
          </w:p>
          <w:p w:rsidR="00000000" w:rsidDel="00000000" w:rsidP="00000000" w:rsidRDefault="00000000" w:rsidRPr="00000000" w14:paraId="0000005B">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Ethernet</w:t>
            </w: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bfbfbf" w:val="clear"/>
            <w:vAlign w:val="top"/>
          </w:tcPr>
          <w:p w:rsidR="00000000" w:rsidDel="00000000" w:rsidP="00000000" w:rsidRDefault="00000000" w:rsidRPr="00000000" w14:paraId="0000005C">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Ganancia Entrada, Mute, Retardo de Entrada, 10 Filtros Ecualización </w:t>
            </w:r>
          </w:p>
          <w:p w:rsidR="00000000" w:rsidDel="00000000" w:rsidP="00000000" w:rsidRDefault="00000000" w:rsidRPr="00000000" w14:paraId="0000005D">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Limitador de Entrada, Monitorización on-line de Señales de Entrada/Salidas</w:t>
            </w:r>
          </w:p>
        </w:tc>
      </w:tr>
      <w:tr>
        <w:trPr>
          <w:cantSplit w:val="0"/>
          <w:trHeight w:val="222" w:hRule="atLeast"/>
          <w:tblHeader w:val="0"/>
        </w:trPr>
        <w:tc>
          <w:tcPr>
            <w:tcBorders>
              <w:top w:color="000000" w:space="0" w:sz="0" w:val="nil"/>
              <w:left w:color="000000" w:space="0" w:sz="6" w:val="single"/>
              <w:bottom w:color="000000" w:space="0" w:sz="6" w:val="single"/>
              <w:right w:color="000000" w:space="0" w:sz="0" w:val="nil"/>
            </w:tcBorders>
            <w:shd w:fill="808080" w:val="clear"/>
            <w:vAlign w:val="top"/>
          </w:tcPr>
          <w:p w:rsidR="00000000" w:rsidDel="00000000" w:rsidP="00000000" w:rsidRDefault="00000000" w:rsidRPr="00000000" w14:paraId="0000005E">
            <w:pPr>
              <w:ind w:right="-81"/>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Rango Dinámico</w:t>
            </w:r>
            <w:r w:rsidDel="00000000" w:rsidR="00000000" w:rsidRPr="00000000">
              <w:rPr>
                <w:rtl w:val="0"/>
              </w:rPr>
            </w:r>
          </w:p>
        </w:tc>
        <w:tc>
          <w:tcPr>
            <w:tcBorders>
              <w:top w:color="000000" w:space="0" w:sz="0" w:val="nil"/>
              <w:left w:color="000000" w:space="0" w:sz="4" w:val="single"/>
              <w:bottom w:color="000000" w:space="0" w:sz="6" w:val="single"/>
              <w:right w:color="000000" w:space="0" w:sz="6" w:val="single"/>
            </w:tcBorders>
            <w:shd w:fill="808080" w:val="clear"/>
            <w:vAlign w:val="top"/>
          </w:tcPr>
          <w:p w:rsidR="00000000" w:rsidDel="00000000" w:rsidP="00000000" w:rsidRDefault="00000000" w:rsidRPr="00000000" w14:paraId="0000005F">
            <w:pPr>
              <w:ind w:right="-81"/>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125dB (Entrada) / 120dB (Salidas)</w:t>
            </w:r>
          </w:p>
        </w:tc>
      </w:tr>
    </w:tbl>
    <w:p w:rsidR="00000000" w:rsidDel="00000000" w:rsidP="00000000" w:rsidRDefault="00000000" w:rsidRPr="00000000" w14:paraId="00000060">
      <w:pPr>
        <w:ind w:left="-540" w:right="-81" w:firstLine="0"/>
        <w:rPr>
          <w:b w:val="0"/>
          <w:vertAlign w:val="baseline"/>
        </w:rPr>
      </w:pPr>
      <w:r w:rsidDel="00000000" w:rsidR="00000000" w:rsidRPr="00000000">
        <w:rPr>
          <w:rtl w:val="0"/>
        </w:rPr>
      </w:r>
    </w:p>
    <w:p w:rsidR="00000000" w:rsidDel="00000000" w:rsidP="00000000" w:rsidRDefault="00000000" w:rsidRPr="00000000" w14:paraId="00000061">
      <w:pPr>
        <w:rPr>
          <w:b w:val="0"/>
          <w:vertAlign w:val="baseline"/>
        </w:rPr>
      </w:pPr>
      <w:r w:rsidDel="00000000" w:rsidR="00000000" w:rsidRPr="00000000">
        <w:rPr>
          <w:rtl w:val="0"/>
        </w:rPr>
      </w:r>
    </w:p>
    <w:p w:rsidR="00000000" w:rsidDel="00000000" w:rsidP="00000000" w:rsidRDefault="00000000" w:rsidRPr="00000000" w14:paraId="00000062">
      <w:pPr>
        <w:rPr>
          <w:b w:val="0"/>
          <w:vertAlign w:val="baseline"/>
        </w:rPr>
      </w:pPr>
      <w:r w:rsidDel="00000000" w:rsidR="00000000" w:rsidRPr="00000000">
        <w:rPr>
          <w:rtl w:val="0"/>
        </w:rPr>
      </w:r>
    </w:p>
    <w:p w:rsidR="00000000" w:rsidDel="00000000" w:rsidP="00000000" w:rsidRDefault="00000000" w:rsidRPr="00000000" w14:paraId="00000063">
      <w:pPr>
        <w:rPr>
          <w:b w:val="0"/>
          <w:vertAlign w:val="baseline"/>
        </w:rPr>
      </w:pPr>
      <w:r w:rsidDel="00000000" w:rsidR="00000000" w:rsidRPr="00000000">
        <w:rPr>
          <w:rtl w:val="0"/>
        </w:rPr>
      </w:r>
    </w:p>
    <w:p w:rsidR="00000000" w:rsidDel="00000000" w:rsidP="00000000" w:rsidRDefault="00000000" w:rsidRPr="00000000" w14:paraId="00000064">
      <w:pPr>
        <w:rPr>
          <w:b w:val="0"/>
          <w:vertAlign w:val="baseline"/>
        </w:rPr>
      </w:pPr>
      <w:r w:rsidDel="00000000" w:rsidR="00000000" w:rsidRPr="00000000">
        <w:rPr>
          <w:rtl w:val="0"/>
        </w:rPr>
      </w:r>
    </w:p>
    <w:p w:rsidR="00000000" w:rsidDel="00000000" w:rsidP="00000000" w:rsidRDefault="00000000" w:rsidRPr="00000000" w14:paraId="00000065">
      <w:pPr>
        <w:rPr>
          <w:b w:val="0"/>
          <w:vertAlign w:val="baseline"/>
        </w:rPr>
      </w:pPr>
      <w:r w:rsidDel="00000000" w:rsidR="00000000" w:rsidRPr="00000000">
        <w:rPr>
          <w:rtl w:val="0"/>
        </w:rPr>
      </w:r>
    </w:p>
    <w:p w:rsidR="00000000" w:rsidDel="00000000" w:rsidP="00000000" w:rsidRDefault="00000000" w:rsidRPr="00000000" w14:paraId="00000066">
      <w:pPr>
        <w:ind w:right="-81"/>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7">
      <w:pPr>
        <w:ind w:right="-81"/>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8">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ind w:left="-540" w:right="-81"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RESPUESTA EN FRECUENCIA                                          CURVA DE IMPEDANCIA</w:t>
      </w:r>
      <w:r w:rsidDel="00000000" w:rsidR="00000000" w:rsidRPr="00000000">
        <w:rPr>
          <w:rtl w:val="0"/>
        </w:rPr>
      </w:r>
    </w:p>
    <w:p w:rsidR="00000000" w:rsidDel="00000000" w:rsidP="00000000" w:rsidRDefault="00000000" w:rsidRPr="00000000" w14:paraId="0000006A">
      <w:pPr>
        <w:ind w:left="-540" w:right="-81" w:firstLine="0"/>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6B">
      <w:pPr>
        <w:ind w:left="-540" w:right="-81" w:firstLine="0"/>
        <w:rPr>
          <w:rFonts w:ascii="Arial" w:cs="Arial" w:eastAsia="Arial" w:hAnsi="Arial"/>
          <w:sz w:val="14"/>
          <w:szCs w:val="14"/>
          <w:vertAlign w:val="baseline"/>
        </w:rPr>
      </w:pPr>
      <w:r w:rsidDel="00000000" w:rsidR="00000000" w:rsidRPr="00000000">
        <w:rPr>
          <w:rFonts w:ascii="Arial" w:cs="Arial" w:eastAsia="Arial" w:hAnsi="Arial"/>
          <w:sz w:val="16"/>
          <w:szCs w:val="16"/>
          <w:vertAlign w:val="baseline"/>
          <w:rtl w:val="0"/>
        </w:rPr>
        <w:t xml:space="preserve"> </w:t>
      </w:r>
      <w:r w:rsidDel="00000000" w:rsidR="00000000" w:rsidRPr="00000000">
        <w:rPr>
          <w:rFonts w:ascii="Arial" w:cs="Arial" w:eastAsia="Arial" w:hAnsi="Arial"/>
          <w:sz w:val="14"/>
          <w:szCs w:val="14"/>
          <w:vertAlign w:val="baseline"/>
          <w:rtl w:val="0"/>
        </w:rPr>
        <w:t xml:space="preserve">BP-218DA Respuesta en Frecuencia ( 1W/1m ) </w:t>
      </w:r>
    </w:p>
    <w:p w:rsidR="00000000" w:rsidDel="00000000" w:rsidP="00000000" w:rsidRDefault="00000000" w:rsidRPr="00000000" w14:paraId="0000006C">
      <w:pPr>
        <w:ind w:left="-540" w:right="-81" w:firstLine="0"/>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Condiciones anecóicas                                                                                     Impedancia obtenida con tensión de salida constante de 4V        </w:t>
      </w:r>
    </w:p>
    <w:p w:rsidR="00000000" w:rsidDel="00000000" w:rsidP="00000000" w:rsidRDefault="00000000" w:rsidRPr="00000000" w14:paraId="0000006D">
      <w:pPr>
        <w:ind w:left="-540" w:right="-81" w:firstLine="0"/>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Filtros X-Over aplicados.                                                                                  </w:t>
      </w:r>
    </w:p>
    <w:p w:rsidR="00000000" w:rsidDel="00000000" w:rsidP="00000000" w:rsidRDefault="00000000" w:rsidRPr="00000000" w14:paraId="0000006E">
      <w:pPr>
        <w:ind w:right="-81"/>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-345439</wp:posOffset>
            </wp:positionH>
            <wp:positionV relativeFrom="paragraph">
              <wp:posOffset>133350</wp:posOffset>
            </wp:positionV>
            <wp:extent cx="2392680" cy="1405255"/>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392680" cy="1405255"/>
                    </a:xfrm>
                    <a:prstGeom prst="rect"/>
                    <a:ln/>
                  </pic:spPr>
                </pic:pic>
              </a:graphicData>
            </a:graphic>
          </wp:anchor>
        </w:drawing>
      </w:r>
    </w:p>
    <w:p w:rsidR="00000000" w:rsidDel="00000000" w:rsidP="00000000" w:rsidRDefault="00000000" w:rsidRPr="00000000" w14:paraId="0000006F">
      <w:pPr>
        <w:ind w:left="-540" w:right="-81" w:firstLine="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2638425</wp:posOffset>
            </wp:positionH>
            <wp:positionV relativeFrom="paragraph">
              <wp:posOffset>6679</wp:posOffset>
            </wp:positionV>
            <wp:extent cx="2393950" cy="1403985"/>
            <wp:effectExtent b="0" l="0" r="0" t="0"/>
            <wp:wrapSquare wrapText="bothSides" distB="0" distT="0" distL="114300" distR="11430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393950" cy="1403985"/>
                    </a:xfrm>
                    <a:prstGeom prst="rect"/>
                    <a:ln/>
                  </pic:spPr>
                </pic:pic>
              </a:graphicData>
            </a:graphic>
          </wp:anchor>
        </w:drawing>
      </w:r>
    </w:p>
    <w:p w:rsidR="00000000" w:rsidDel="00000000" w:rsidP="00000000" w:rsidRDefault="00000000" w:rsidRPr="00000000" w14:paraId="00000070">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1">
      <w:pPr>
        <w:ind w:left="-540" w:right="-81"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2">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ind w:left="-540" w:right="-8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8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ind w:left="-539"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MEDIDAS</w:t>
      </w:r>
      <w:r w:rsidDel="00000000" w:rsidR="00000000" w:rsidRPr="00000000">
        <w:rPr>
          <w:rtl w:val="0"/>
        </w:rPr>
      </w:r>
    </w:p>
    <w:p w:rsidR="00000000" w:rsidDel="00000000" w:rsidP="00000000" w:rsidRDefault="00000000" w:rsidRPr="00000000" w14:paraId="0000007B">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7C">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7D">
      <w:pPr>
        <w:rPr>
          <w:rFonts w:ascii="Arial" w:cs="Arial" w:eastAsia="Arial" w:hAnsi="Arial"/>
          <w:sz w:val="16"/>
          <w:szCs w:val="16"/>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wp:posOffset>
            </wp:positionH>
            <wp:positionV relativeFrom="paragraph">
              <wp:posOffset>119379</wp:posOffset>
            </wp:positionV>
            <wp:extent cx="3410585" cy="2269490"/>
            <wp:effectExtent b="0" l="0" r="0" t="0"/>
            <wp:wrapSquare wrapText="bothSides" distB="0" distT="0" distL="114300" distR="114300"/>
            <wp:docPr id="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410585" cy="2269490"/>
                    </a:xfrm>
                    <a:prstGeom prst="rect"/>
                    <a:ln/>
                  </pic:spPr>
                </pic:pic>
              </a:graphicData>
            </a:graphic>
          </wp:anchor>
        </w:drawing>
      </w:r>
    </w:p>
    <w:p w:rsidR="00000000" w:rsidDel="00000000" w:rsidP="00000000" w:rsidRDefault="00000000" w:rsidRPr="00000000" w14:paraId="0000007E">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1">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2">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3">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4">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5">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6">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7">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8">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9">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A">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B">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0">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1">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2">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3">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4">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5">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6">
      <w:pPr>
        <w:ind w:left="5400" w:hanging="5940"/>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7">
      <w:pPr>
        <w:ind w:left="5400" w:hanging="5940"/>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8">
      <w:pPr>
        <w:ind w:left="5400" w:hanging="5940"/>
        <w:jc w:val="center"/>
        <w:rPr>
          <w:rFonts w:ascii="Arial" w:cs="Arial" w:eastAsia="Arial" w:hAnsi="Arial"/>
          <w:sz w:val="16"/>
          <w:szCs w:val="16"/>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1916429</wp:posOffset>
            </wp:positionH>
            <wp:positionV relativeFrom="paragraph">
              <wp:posOffset>110490</wp:posOffset>
            </wp:positionV>
            <wp:extent cx="1579245" cy="43751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79245" cy="437515"/>
                    </a:xfrm>
                    <a:prstGeom prst="rect"/>
                    <a:ln/>
                  </pic:spPr>
                </pic:pic>
              </a:graphicData>
            </a:graphic>
          </wp:anchor>
        </w:drawing>
      </w:r>
    </w:p>
    <w:p w:rsidR="00000000" w:rsidDel="00000000" w:rsidP="00000000" w:rsidRDefault="00000000" w:rsidRPr="00000000" w14:paraId="00000099">
      <w:pPr>
        <w:ind w:left="5400" w:hanging="5940"/>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A">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B">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C">
      <w:pPr>
        <w:jc w:val="center"/>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9D">
      <w:pPr>
        <w:ind w:left="5400" w:hanging="5940"/>
        <w:jc w:val="center"/>
        <w:rPr>
          <w:rFonts w:ascii="Arial" w:cs="Arial" w:eastAsia="Arial" w:hAnsi="Arial"/>
          <w:b w:val="0"/>
          <w:sz w:val="16"/>
          <w:szCs w:val="16"/>
          <w:u w:val="single"/>
          <w:vertAlign w:val="baseline"/>
        </w:rPr>
      </w:pPr>
      <w:r w:rsidDel="00000000" w:rsidR="00000000" w:rsidRPr="00000000">
        <w:rPr>
          <w:rFonts w:ascii="Arial" w:cs="Arial" w:eastAsia="Arial" w:hAnsi="Arial"/>
          <w:b w:val="1"/>
          <w:sz w:val="20"/>
          <w:szCs w:val="20"/>
          <w:vertAlign w:val="baseline"/>
          <w:rtl w:val="0"/>
        </w:rPr>
        <w:t xml:space="preserve">MUSICSON S.L</w:t>
      </w:r>
      <w:r w:rsidDel="00000000" w:rsidR="00000000" w:rsidRPr="00000000">
        <w:rPr>
          <w:rtl w:val="0"/>
        </w:rPr>
      </w:r>
    </w:p>
    <w:p w:rsidR="00000000" w:rsidDel="00000000" w:rsidP="00000000" w:rsidRDefault="00000000" w:rsidRPr="00000000" w14:paraId="0000009E">
      <w:pPr>
        <w:ind w:left="5400" w:hanging="5940"/>
        <w:jc w:val="center"/>
        <w:rPr>
          <w:rFonts w:ascii="Arial" w:cs="Arial" w:eastAsia="Arial" w:hAnsi="Arial"/>
          <w:b w:val="0"/>
          <w:sz w:val="14"/>
          <w:szCs w:val="14"/>
          <w:u w:val="single"/>
          <w:vertAlign w:val="baseline"/>
        </w:rPr>
      </w:pPr>
      <w:r w:rsidDel="00000000" w:rsidR="00000000" w:rsidRPr="00000000">
        <w:rPr>
          <w:rFonts w:ascii="Arial" w:cs="Arial" w:eastAsia="Arial" w:hAnsi="Arial"/>
          <w:b w:val="1"/>
          <w:sz w:val="14"/>
          <w:szCs w:val="14"/>
          <w:vertAlign w:val="baseline"/>
          <w:rtl w:val="0"/>
        </w:rPr>
        <w:t xml:space="preserve">46920 Mislata, Valencia, Spain</w:t>
      </w:r>
      <w:r w:rsidDel="00000000" w:rsidR="00000000" w:rsidRPr="00000000">
        <w:rPr>
          <w:rtl w:val="0"/>
        </w:rPr>
      </w:r>
    </w:p>
    <w:p w:rsidR="00000000" w:rsidDel="00000000" w:rsidP="00000000" w:rsidRDefault="00000000" w:rsidRPr="00000000" w14:paraId="0000009F">
      <w:pPr>
        <w:ind w:left="5400" w:hanging="5940"/>
        <w:jc w:val="center"/>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www.musicson.com</w:t>
      </w:r>
      <w:r w:rsidDel="00000000" w:rsidR="00000000" w:rsidRPr="00000000">
        <w:rPr>
          <w:rtl w:val="0"/>
        </w:rPr>
      </w:r>
    </w:p>
    <w:p w:rsidR="00000000" w:rsidDel="00000000" w:rsidP="00000000" w:rsidRDefault="00000000" w:rsidRPr="00000000" w14:paraId="000000A0">
      <w:pPr>
        <w:ind w:left="5400" w:hanging="5940"/>
        <w:jc w:val="center"/>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musicson@musicson.com</w:t>
      </w:r>
      <w:r w:rsidDel="00000000" w:rsidR="00000000" w:rsidRPr="00000000">
        <w:rPr>
          <w:rtl w:val="0"/>
        </w:rPr>
      </w:r>
    </w:p>
    <w:sectPr>
      <w:pgSz w:h="16838" w:w="11906" w:orient="portrait"/>
      <w:pgMar w:bottom="1417" w:top="1417" w:left="1701" w:right="92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nga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ngal" w:cs="Mangal" w:eastAsia="Mangal" w:hAnsi="Mangal"/>
        <w:sz w:val="18"/>
        <w:szCs w:val="18"/>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Mangal" w:hAnsi="Mangal"/>
      <w:w w:val="100"/>
      <w:position w:val="-1"/>
      <w:sz w:val="18"/>
      <w:szCs w:val="24"/>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Mangal" w:hAnsi="Mangal"/>
      <w:b w:val="1"/>
      <w:bCs w:val="1"/>
      <w:w w:val="100"/>
      <w:position w:val="-1"/>
      <w:sz w:val="20"/>
      <w:szCs w:val="24"/>
      <w:effect w:val="none"/>
      <w:vertAlign w:val="baseline"/>
      <w:cs w:val="0"/>
      <w:em w:val="none"/>
      <w:lang w:bidi="ar-SA" w:eastAsia="es-ES" w:val="en-GB"/>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Mangal" w:hAnsi="Mangal"/>
      <w:b w:val="1"/>
      <w:bCs w:val="1"/>
      <w:w w:val="100"/>
      <w:position w:val="-1"/>
      <w:sz w:val="28"/>
      <w:szCs w:val="24"/>
      <w:effect w:val="none"/>
      <w:vertAlign w:val="baseline"/>
      <w:cs w:val="0"/>
      <w:em w:val="none"/>
      <w:lang w:bidi="ar-SA" w:eastAsia="es-ES" w:val="en-GB"/>
    </w:rPr>
  </w:style>
  <w:style w:type="paragraph" w:styleId="Título3">
    <w:name w:val="Título 3"/>
    <w:basedOn w:val="Normal"/>
    <w:next w:val="Normal"/>
    <w:autoRedefine w:val="0"/>
    <w:hidden w:val="0"/>
    <w:qFormat w:val="0"/>
    <w:pPr>
      <w:keepNext w:val="1"/>
      <w:suppressAutoHyphens w:val="1"/>
      <w:spacing w:line="1" w:lineRule="atLeast"/>
      <w:ind w:left="-540" w:right="-81" w:leftChars="-1" w:rightChars="0" w:firstLineChars="-1"/>
      <w:textDirection w:val="btLr"/>
      <w:textAlignment w:val="top"/>
      <w:outlineLvl w:val="2"/>
    </w:pPr>
    <w:rPr>
      <w:rFonts w:ascii="Mangal" w:hAnsi="Mangal"/>
      <w:b w:val="1"/>
      <w:bCs w:val="1"/>
      <w:w w:val="100"/>
      <w:position w:val="-1"/>
      <w:sz w:val="18"/>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Sangríadetextonormal">
    <w:name w:val="Sangría de texto normal"/>
    <w:basedOn w:val="Normal"/>
    <w:next w:val="Sangríadetextonormal"/>
    <w:autoRedefine w:val="0"/>
    <w:hidden w:val="0"/>
    <w:qFormat w:val="0"/>
    <w:pPr>
      <w:suppressAutoHyphens w:val="1"/>
      <w:spacing w:line="1" w:lineRule="atLeast"/>
      <w:ind w:left="-540" w:leftChars="-1" w:rightChars="0" w:firstLineChars="-1"/>
      <w:textDirection w:val="btLr"/>
      <w:textAlignment w:val="top"/>
      <w:outlineLvl w:val="0"/>
    </w:pPr>
    <w:rPr>
      <w:rFonts w:ascii="Mangal" w:hAnsi="Mangal"/>
      <w:w w:val="100"/>
      <w:position w:val="-1"/>
      <w:sz w:val="18"/>
      <w:szCs w:val="24"/>
      <w:effect w:val="none"/>
      <w:vertAlign w:val="baseline"/>
      <w:cs w:val="0"/>
      <w:em w:val="none"/>
      <w:lang w:bidi="ar-SA" w:eastAsia="es-ES" w:val="en-GB"/>
    </w:rPr>
  </w:style>
  <w:style w:type="paragraph" w:styleId="Textosinformato">
    <w:name w:val="Texto sin formato"/>
    <w:basedOn w:val="Normal"/>
    <w:next w:val="Textosinformato"/>
    <w:autoRedefine w:val="0"/>
    <w:hidden w:val="0"/>
    <w:qFormat w:val="0"/>
    <w:pPr>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s-ES" w:val="es-ES"/>
    </w:rPr>
  </w:style>
  <w:style w:type="paragraph" w:styleId="Textodebloque">
    <w:name w:val="Texto de bloque"/>
    <w:basedOn w:val="Normal"/>
    <w:next w:val="Textodebloque"/>
    <w:autoRedefine w:val="0"/>
    <w:hidden w:val="0"/>
    <w:qFormat w:val="0"/>
    <w:pPr>
      <w:suppressAutoHyphens w:val="1"/>
      <w:spacing w:line="1" w:lineRule="atLeast"/>
      <w:ind w:left="-450" w:right="-81" w:leftChars="-1" w:rightChars="0" w:firstLineChars="-1"/>
      <w:jc w:val="both"/>
      <w:textDirection w:val="btLr"/>
      <w:textAlignment w:val="top"/>
      <w:outlineLvl w:val="0"/>
    </w:pPr>
    <w:rPr>
      <w:rFonts w:ascii="Mangal" w:hAnsi="Mangal"/>
      <w:w w:val="100"/>
      <w:position w:val="-1"/>
      <w:sz w:val="18"/>
      <w:szCs w:val="24"/>
      <w:effect w:val="none"/>
      <w:vertAlign w:val="baseline"/>
      <w:cs w:val="0"/>
      <w:em w:val="none"/>
      <w:lang w:bidi="ar-SA" w:eastAsia="es-ES" w:val="en-GB"/>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Mangal" w:hAnsi="Mangal"/>
      <w:w w:val="100"/>
      <w:position w:val="-1"/>
      <w:sz w:val="18"/>
      <w:szCs w:val="24"/>
      <w:effect w:val="none"/>
      <w:vertAlign w:val="baseline"/>
      <w:cs w:val="0"/>
      <w:em w:val="none"/>
      <w:lang w:bidi="ar-SA" w:eastAsia="es-ES" w:val="es-ES"/>
    </w:rPr>
  </w:style>
  <w:style w:type="character" w:styleId="EncabezadoCar">
    <w:name w:val="Encabezado Car"/>
    <w:next w:val="EncabezadoCar"/>
    <w:autoRedefine w:val="0"/>
    <w:hidden w:val="0"/>
    <w:qFormat w:val="0"/>
    <w:rPr>
      <w:rFonts w:ascii="Mangal" w:hAnsi="Mangal"/>
      <w:w w:val="100"/>
      <w:position w:val="-1"/>
      <w:sz w:val="18"/>
      <w:szCs w:val="24"/>
      <w:effect w:val="none"/>
      <w:vertAlign w:val="baseline"/>
      <w:cs w:val="0"/>
      <w:em w:val="none"/>
      <w:lang/>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Mangal" w:hAnsi="Mangal"/>
      <w:w w:val="100"/>
      <w:position w:val="-1"/>
      <w:sz w:val="18"/>
      <w:szCs w:val="24"/>
      <w:effect w:val="none"/>
      <w:vertAlign w:val="baseline"/>
      <w:cs w:val="0"/>
      <w:em w:val="none"/>
      <w:lang w:bidi="ar-SA" w:eastAsia="es-ES" w:val="es-ES"/>
    </w:rPr>
  </w:style>
  <w:style w:type="character" w:styleId="PiedepáginaCar">
    <w:name w:val="Pie de página Car"/>
    <w:next w:val="PiedepáginaCar"/>
    <w:autoRedefine w:val="0"/>
    <w:hidden w:val="0"/>
    <w:qFormat w:val="0"/>
    <w:rPr>
      <w:rFonts w:ascii="Mangal" w:hAnsi="Mangal"/>
      <w:w w:val="100"/>
      <w:position w:val="-1"/>
      <w:sz w:val="18"/>
      <w:szCs w:val="24"/>
      <w:effect w:val="none"/>
      <w:vertAlign w:val="baseline"/>
      <w:cs w:val="0"/>
      <w:em w:val="none"/>
      <w:lang/>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s-ES" w:val="es-ES"/>
    </w:rPr>
  </w:style>
  <w:style w:type="character" w:styleId="TextodegloboCar">
    <w:name w:val="Texto de globo Car"/>
    <w:next w:val="TextodegloboCar"/>
    <w:autoRedefine w:val="0"/>
    <w:hidden w:val="0"/>
    <w:qFormat w:val="0"/>
    <w:rPr>
      <w:rFonts w:ascii="Segoe UI" w:cs="Segoe UI" w:hAnsi="Segoe UI"/>
      <w:w w:val="100"/>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gkygn31cA/DQhf10N8aMR/91A==">CgMxLjA4AHIhMXI5Sy1SeVA1Q28wV3BhbUhxcmdRUndOejJvdWNUcElF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2024-05-30T10:27:00Z</dcterms:created>
  <dc:creator>JOAQUIN</dc:creator>
</cp:coreProperties>
</file>